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A93" w:rsidRPr="00A22A93" w:rsidRDefault="00A22A93" w:rsidP="00A22A9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A22A93">
        <w:rPr>
          <w:rFonts w:ascii="Times New Roman" w:eastAsia="Times New Roman" w:hAnsi="Times New Roman" w:cs="Times New Roman"/>
          <w:b/>
          <w:bCs/>
          <w:kern w:val="36"/>
          <w:sz w:val="48"/>
          <w:szCs w:val="48"/>
          <w:lang w:eastAsia="en-ZA"/>
        </w:rPr>
        <w:t>FEDHASA SUBMISSION ON THE EMPLOYMENT SERVICES AMENDMENT BILL [B16–2026]</w:t>
      </w:r>
    </w:p>
    <w:p w:rsidR="00A22A93" w:rsidRPr="00A22A93" w:rsidRDefault="00A22A93" w:rsidP="00A22A93">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A22A93">
        <w:rPr>
          <w:rFonts w:ascii="Times New Roman" w:eastAsia="Times New Roman" w:hAnsi="Times New Roman" w:cs="Times New Roman"/>
          <w:b/>
          <w:bCs/>
          <w:sz w:val="36"/>
          <w:szCs w:val="36"/>
          <w:lang w:eastAsia="en-ZA"/>
        </w:rPr>
        <w:t>Submitted by:</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Federated Hospitality Association of South Africa (FEDHASA)</w:t>
      </w:r>
    </w:p>
    <w:p w:rsidR="00A22A93" w:rsidRPr="00A22A93" w:rsidRDefault="00A22A93" w:rsidP="00A22A93">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A22A93">
        <w:rPr>
          <w:rFonts w:ascii="Times New Roman" w:eastAsia="Times New Roman" w:hAnsi="Times New Roman" w:cs="Times New Roman"/>
          <w:b/>
          <w:bCs/>
          <w:sz w:val="36"/>
          <w:szCs w:val="36"/>
          <w:lang w:eastAsia="en-ZA"/>
        </w:rPr>
        <w:t>Date:</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June 2026</w:t>
      </w:r>
    </w:p>
    <w:p w:rsidR="00A22A93" w:rsidRPr="00A22A93" w:rsidRDefault="00A22A93" w:rsidP="00A22A9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A22A93">
        <w:rPr>
          <w:rFonts w:ascii="Times New Roman" w:eastAsia="Times New Roman" w:hAnsi="Times New Roman" w:cs="Times New Roman"/>
          <w:b/>
          <w:bCs/>
          <w:kern w:val="36"/>
          <w:sz w:val="48"/>
          <w:szCs w:val="48"/>
          <w:lang w:eastAsia="en-ZA"/>
        </w:rPr>
        <w:t>1. INTRODUCTION</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Federated Hospitality Association of South Africa (FEDHASA) welcomes the opportunity to comment on the Employment Services Amendment Bill, 2026 (“the Bill”).</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FEDHASA supports the objectives of promoting lawful employment, protecting labour standards, improving labour market regulation, addressing skills shortages, and preventing the exploitation of vulnerable workers.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hospitality and tourism industry is a major employer in South Africa and relies heavily on a combination of local skills development, international expertise, seasonal labour mobility, regional labour integration, and specialised foreign skills across hotel management, culinary services, conferencing, tourism operations, wellness services, and technical hospitality functions.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While FEDHASA acknowledges the legitimate policy objective of balancing local employment opportunities with labour migration management, the Bill in its current form raises serious constitutional, economic, administrative, and international law concerns.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FEDHASA is particularly concerned with:</w:t>
      </w:r>
    </w:p>
    <w:p w:rsidR="00A22A93" w:rsidRPr="00A22A93" w:rsidRDefault="00A22A93" w:rsidP="00A22A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proposed quota system for foreign nationals under section 12B;</w:t>
      </w:r>
    </w:p>
    <w:p w:rsidR="00A22A93" w:rsidRPr="00A22A93" w:rsidRDefault="00A22A93" w:rsidP="00A22A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broad discretionary powers granted to the Minister;</w:t>
      </w:r>
    </w:p>
    <w:p w:rsidR="00A22A93" w:rsidRPr="00A22A93" w:rsidRDefault="00A22A93" w:rsidP="00A22A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practical and legal implications of mandatory labour market testing;</w:t>
      </w:r>
    </w:p>
    <w:p w:rsidR="00A22A93" w:rsidRPr="00A22A93" w:rsidRDefault="00A22A93" w:rsidP="00A22A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administrative burden imposed on employers;</w:t>
      </w:r>
    </w:p>
    <w:p w:rsidR="00A22A93" w:rsidRPr="00A22A93" w:rsidRDefault="00A22A93" w:rsidP="00A22A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potential conflict with international trade and labour obligations; and</w:t>
      </w:r>
    </w:p>
    <w:p w:rsidR="00A22A93" w:rsidRPr="00A22A93" w:rsidRDefault="00A22A93" w:rsidP="00A22A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the</w:t>
      </w:r>
      <w:proofErr w:type="gramEnd"/>
      <w:r w:rsidRPr="00A22A93">
        <w:rPr>
          <w:rFonts w:ascii="Times New Roman" w:eastAsia="Times New Roman" w:hAnsi="Times New Roman" w:cs="Times New Roman"/>
          <w:sz w:val="24"/>
          <w:szCs w:val="24"/>
          <w:lang w:eastAsia="en-ZA"/>
        </w:rPr>
        <w:t xml:space="preserve"> impact on tourism investment, business operations, and economic growth.</w:t>
      </w:r>
    </w:p>
    <w:p w:rsidR="00A22A93" w:rsidRPr="00A22A93" w:rsidRDefault="00A22A93" w:rsidP="00A22A9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A22A93">
        <w:rPr>
          <w:rFonts w:ascii="Times New Roman" w:eastAsia="Times New Roman" w:hAnsi="Times New Roman" w:cs="Times New Roman"/>
          <w:b/>
          <w:bCs/>
          <w:kern w:val="36"/>
          <w:sz w:val="48"/>
          <w:szCs w:val="48"/>
          <w:lang w:eastAsia="en-ZA"/>
        </w:rPr>
        <w:t>2. CONSTITUTIONAL AND NATIONAL LEGAL CONCERNS</w:t>
      </w:r>
    </w:p>
    <w:p w:rsidR="00A22A93" w:rsidRPr="00A22A93" w:rsidRDefault="00A22A93" w:rsidP="00A22A93">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A22A93">
        <w:rPr>
          <w:rFonts w:ascii="Times New Roman" w:eastAsia="Times New Roman" w:hAnsi="Times New Roman" w:cs="Times New Roman"/>
          <w:b/>
          <w:bCs/>
          <w:sz w:val="36"/>
          <w:szCs w:val="36"/>
          <w:lang w:eastAsia="en-ZA"/>
        </w:rPr>
        <w:lastRenderedPageBreak/>
        <w:t>2.1 Section 22 of the Constitution – Freedom of Trade, Occupation and Profession</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Bill empowers the Minister to impose quotas limiting the employment of foreign nationals in any sector, occupational category, or region.</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FEDHASA submits that such broad powers may unjustifiably limit the constitutional right to freedom of trade, occupation, and profession protected under Section 22 of the Constitution.</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Although Section 22 applies specifically to citizens, the Constitutional Court has repeatedly confirmed that economic regulation must still comply with constitutional principles of:</w:t>
      </w:r>
    </w:p>
    <w:p w:rsidR="00A22A93" w:rsidRPr="00A22A93" w:rsidRDefault="00A22A93" w:rsidP="00A22A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rationality;</w:t>
      </w:r>
    </w:p>
    <w:p w:rsidR="00A22A93" w:rsidRPr="00A22A93" w:rsidRDefault="00A22A93" w:rsidP="00A22A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legality;</w:t>
      </w:r>
    </w:p>
    <w:p w:rsidR="00A22A93" w:rsidRPr="00A22A93" w:rsidRDefault="00A22A93" w:rsidP="00A22A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proportionality; and</w:t>
      </w:r>
    </w:p>
    <w:p w:rsidR="00A22A93" w:rsidRPr="00A22A93" w:rsidRDefault="00A22A93" w:rsidP="00A22A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procedural</w:t>
      </w:r>
      <w:proofErr w:type="gramEnd"/>
      <w:r w:rsidRPr="00A22A93">
        <w:rPr>
          <w:rFonts w:ascii="Times New Roman" w:eastAsia="Times New Roman" w:hAnsi="Times New Roman" w:cs="Times New Roman"/>
          <w:sz w:val="24"/>
          <w:szCs w:val="24"/>
          <w:lang w:eastAsia="en-ZA"/>
        </w:rPr>
        <w:t xml:space="preserve"> fairness.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Bill grants exceptionally broad discretionary authority to the Minister without:</w:t>
      </w:r>
    </w:p>
    <w:p w:rsidR="00A22A93" w:rsidRPr="00A22A93" w:rsidRDefault="00A22A93" w:rsidP="00A22A9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clear sectoral criteria;</w:t>
      </w:r>
    </w:p>
    <w:p w:rsidR="00A22A93" w:rsidRPr="00A22A93" w:rsidRDefault="00A22A93" w:rsidP="00A22A9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objective economic thresholds;</w:t>
      </w:r>
    </w:p>
    <w:p w:rsidR="00A22A93" w:rsidRPr="00A22A93" w:rsidRDefault="00A22A93" w:rsidP="00A22A9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mandatory impact assessments; or</w:t>
      </w:r>
    </w:p>
    <w:p w:rsidR="00A22A93" w:rsidRPr="00A22A93" w:rsidRDefault="00A22A93" w:rsidP="00A22A9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sufficient</w:t>
      </w:r>
      <w:proofErr w:type="gramEnd"/>
      <w:r w:rsidRPr="00A22A93">
        <w:rPr>
          <w:rFonts w:ascii="Times New Roman" w:eastAsia="Times New Roman" w:hAnsi="Times New Roman" w:cs="Times New Roman"/>
          <w:sz w:val="24"/>
          <w:szCs w:val="24"/>
          <w:lang w:eastAsia="en-ZA"/>
        </w:rPr>
        <w:t xml:space="preserve"> parliamentary oversight.</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hospitality sector requires operational flexibility and rapid access to specialised and experienced personnel, particularly in internationally competitive tourism markets.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Rigid quota systems may undermine the sector’s ability to:</w:t>
      </w:r>
    </w:p>
    <w:p w:rsidR="00A22A93" w:rsidRPr="00A22A93" w:rsidRDefault="00A22A93" w:rsidP="00A22A9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attract investment;</w:t>
      </w:r>
    </w:p>
    <w:p w:rsidR="00A22A93" w:rsidRPr="00A22A93" w:rsidRDefault="00A22A93" w:rsidP="00A22A9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maintain international service standards;</w:t>
      </w:r>
    </w:p>
    <w:p w:rsidR="00A22A93" w:rsidRPr="00A22A93" w:rsidRDefault="00A22A93" w:rsidP="00A22A9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transfer skills;</w:t>
      </w:r>
    </w:p>
    <w:p w:rsidR="00A22A93" w:rsidRPr="00A22A93" w:rsidRDefault="00A22A93" w:rsidP="00A22A9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host international events; and</w:t>
      </w:r>
    </w:p>
    <w:p w:rsidR="00A22A93" w:rsidRPr="00A22A93" w:rsidRDefault="00A22A93" w:rsidP="00A22A9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compete</w:t>
      </w:r>
      <w:proofErr w:type="gramEnd"/>
      <w:r w:rsidRPr="00A22A93">
        <w:rPr>
          <w:rFonts w:ascii="Times New Roman" w:eastAsia="Times New Roman" w:hAnsi="Times New Roman" w:cs="Times New Roman"/>
          <w:sz w:val="24"/>
          <w:szCs w:val="24"/>
          <w:lang w:eastAsia="en-ZA"/>
        </w:rPr>
        <w:t xml:space="preserve"> globally.</w:t>
      </w:r>
    </w:p>
    <w:p w:rsidR="00A22A93" w:rsidRPr="00A22A93" w:rsidRDefault="00A22A93" w:rsidP="00A22A9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A22A93">
        <w:rPr>
          <w:rFonts w:ascii="Times New Roman" w:eastAsia="Times New Roman" w:hAnsi="Times New Roman" w:cs="Times New Roman"/>
          <w:b/>
          <w:bCs/>
          <w:kern w:val="36"/>
          <w:sz w:val="48"/>
          <w:szCs w:val="48"/>
          <w:lang w:eastAsia="en-ZA"/>
        </w:rPr>
        <w:t>2.2 Section 9 – Equality</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Bill differentiates between South African citizens, permanent residents, refugees, asylum seekers, and foreign nationals in a manner that may create arbitrary or disproportionate restrictions on lawful economic participation.</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While the Bill excludes refugees and asylum seekers from the definition of “foreign national”, the quota system may nevertheless create indirect discrimination and inconsistent treatment of lawful migrants.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Constitutional Court has affirmed that all persons within South Africa are entitled to constitutional protection, including dignity, equality, and fair administrative action.</w:t>
      </w:r>
    </w:p>
    <w:p w:rsidR="00A22A93" w:rsidRPr="00A22A93" w:rsidRDefault="00A22A93" w:rsidP="00A22A9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A22A93">
        <w:rPr>
          <w:rFonts w:ascii="Times New Roman" w:eastAsia="Times New Roman" w:hAnsi="Times New Roman" w:cs="Times New Roman"/>
          <w:b/>
          <w:bCs/>
          <w:kern w:val="36"/>
          <w:sz w:val="48"/>
          <w:szCs w:val="48"/>
          <w:lang w:eastAsia="en-ZA"/>
        </w:rPr>
        <w:lastRenderedPageBreak/>
        <w:t>2.3 Section 23 – Fair Labour Practices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Bill itself acknowledges the constitutional right to fair labour practices under Section 23 of the Constitution.</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However, the proposed framework may unintentionally create:</w:t>
      </w:r>
    </w:p>
    <w:p w:rsidR="00A22A93" w:rsidRPr="00A22A93" w:rsidRDefault="00A22A93" w:rsidP="00A22A9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uncertainty for legally employed foreign workers;</w:t>
      </w:r>
    </w:p>
    <w:p w:rsidR="00A22A93" w:rsidRPr="00A22A93" w:rsidRDefault="00A22A93" w:rsidP="00A22A9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arbitrary employment limitations;</w:t>
      </w:r>
    </w:p>
    <w:p w:rsidR="00A22A93" w:rsidRPr="00A22A93" w:rsidRDefault="00A22A93" w:rsidP="00A22A9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inconsistent sectoral application; and</w:t>
      </w:r>
    </w:p>
    <w:p w:rsidR="00A22A93" w:rsidRPr="00A22A93" w:rsidRDefault="00A22A93" w:rsidP="00A22A9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increased</w:t>
      </w:r>
      <w:proofErr w:type="gramEnd"/>
      <w:r w:rsidRPr="00A22A93">
        <w:rPr>
          <w:rFonts w:ascii="Times New Roman" w:eastAsia="Times New Roman" w:hAnsi="Times New Roman" w:cs="Times New Roman"/>
          <w:sz w:val="24"/>
          <w:szCs w:val="24"/>
          <w:lang w:eastAsia="en-ZA"/>
        </w:rPr>
        <w:t xml:space="preserve"> vulnerability to labour exploitation.</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FEDHASA is concerned that quota-based systems may incentivise informal employment arrangements rather than improve compliance.</w:t>
      </w:r>
    </w:p>
    <w:p w:rsidR="00A22A93" w:rsidRPr="00A22A93" w:rsidRDefault="00A22A93" w:rsidP="00A22A9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A22A93">
        <w:rPr>
          <w:rFonts w:ascii="Times New Roman" w:eastAsia="Times New Roman" w:hAnsi="Times New Roman" w:cs="Times New Roman"/>
          <w:b/>
          <w:bCs/>
          <w:kern w:val="36"/>
          <w:sz w:val="48"/>
          <w:szCs w:val="48"/>
          <w:lang w:eastAsia="en-ZA"/>
        </w:rPr>
        <w:t>2.4 Administrative Justice Concerns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Bill grants extensive powers to the Minister to:</w:t>
      </w:r>
    </w:p>
    <w:p w:rsidR="00A22A93" w:rsidRPr="00A22A93" w:rsidRDefault="00A22A93" w:rsidP="00A22A9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impose quotas;</w:t>
      </w:r>
    </w:p>
    <w:p w:rsidR="00A22A93" w:rsidRPr="00A22A93" w:rsidRDefault="00A22A93" w:rsidP="00A22A9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determine compliance requirements;</w:t>
      </w:r>
    </w:p>
    <w:p w:rsidR="00A22A93" w:rsidRPr="00A22A93" w:rsidRDefault="00A22A93" w:rsidP="00A22A9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issue regulations;</w:t>
      </w:r>
    </w:p>
    <w:p w:rsidR="00A22A93" w:rsidRPr="00A22A93" w:rsidRDefault="00A22A93" w:rsidP="00A22A9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prescribe labour market testing mechanisms; and</w:t>
      </w:r>
    </w:p>
    <w:p w:rsidR="00A22A93" w:rsidRPr="00A22A93" w:rsidRDefault="00A22A93" w:rsidP="00A22A9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determine</w:t>
      </w:r>
      <w:proofErr w:type="gramEnd"/>
      <w:r w:rsidRPr="00A22A93">
        <w:rPr>
          <w:rFonts w:ascii="Times New Roman" w:eastAsia="Times New Roman" w:hAnsi="Times New Roman" w:cs="Times New Roman"/>
          <w:sz w:val="24"/>
          <w:szCs w:val="24"/>
          <w:lang w:eastAsia="en-ZA"/>
        </w:rPr>
        <w:t xml:space="preserve"> exemption criteria.</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absence of clear statutory guidelines creates uncertainty and increases the risk of:</w:t>
      </w:r>
    </w:p>
    <w:p w:rsidR="00A22A93" w:rsidRPr="00A22A93" w:rsidRDefault="00A22A93" w:rsidP="00A22A9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inconsistent application;</w:t>
      </w:r>
    </w:p>
    <w:p w:rsidR="00A22A93" w:rsidRPr="00A22A93" w:rsidRDefault="00A22A93" w:rsidP="00A22A9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regulatory unpredictability;</w:t>
      </w:r>
    </w:p>
    <w:p w:rsidR="00A22A93" w:rsidRPr="00A22A93" w:rsidRDefault="00A22A93" w:rsidP="00A22A9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lengthy exemption delays; and</w:t>
      </w:r>
    </w:p>
    <w:p w:rsidR="00A22A93" w:rsidRPr="00A22A93" w:rsidRDefault="00A22A93" w:rsidP="00A22A9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administrative</w:t>
      </w:r>
      <w:proofErr w:type="gramEnd"/>
      <w:r w:rsidRPr="00A22A93">
        <w:rPr>
          <w:rFonts w:ascii="Times New Roman" w:eastAsia="Times New Roman" w:hAnsi="Times New Roman" w:cs="Times New Roman"/>
          <w:sz w:val="24"/>
          <w:szCs w:val="24"/>
          <w:lang w:eastAsia="en-ZA"/>
        </w:rPr>
        <w:t xml:space="preserve"> inefficiency.</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This is especially concerning given existing processing delays and administrative backlogs already experienced across labour and immigration systems.</w:t>
      </w:r>
    </w:p>
    <w:p w:rsidR="00A22A93" w:rsidRPr="00A22A93" w:rsidRDefault="00A22A93" w:rsidP="00A22A9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A22A93">
        <w:rPr>
          <w:rFonts w:ascii="Times New Roman" w:eastAsia="Times New Roman" w:hAnsi="Times New Roman" w:cs="Times New Roman"/>
          <w:b/>
          <w:bCs/>
          <w:kern w:val="36"/>
          <w:sz w:val="48"/>
          <w:szCs w:val="48"/>
          <w:lang w:eastAsia="en-ZA"/>
        </w:rPr>
        <w:t>3. PRACTICAL INDUSTRY CONCERNS</w:t>
      </w:r>
    </w:p>
    <w:p w:rsidR="00A22A93" w:rsidRPr="00A22A93" w:rsidRDefault="00A22A93" w:rsidP="00A22A93">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A22A93">
        <w:rPr>
          <w:rFonts w:ascii="Times New Roman" w:eastAsia="Times New Roman" w:hAnsi="Times New Roman" w:cs="Times New Roman"/>
          <w:b/>
          <w:bCs/>
          <w:sz w:val="36"/>
          <w:szCs w:val="36"/>
          <w:lang w:eastAsia="en-ZA"/>
        </w:rPr>
        <w:t>3.1 Impact on the Hospitality and Tourism Industry</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hospitality sector is globally integrated and service-driven.</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South Africa’s tourism competitiveness depends on:</w:t>
      </w:r>
    </w:p>
    <w:p w:rsidR="00A22A93" w:rsidRPr="00A22A93" w:rsidRDefault="00A22A93" w:rsidP="00A22A9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international hotel brands;</w:t>
      </w:r>
    </w:p>
    <w:p w:rsidR="00A22A93" w:rsidRPr="00A22A93" w:rsidRDefault="00A22A93" w:rsidP="00A22A9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specialised foreign management expertise;</w:t>
      </w:r>
    </w:p>
    <w:p w:rsidR="00A22A93" w:rsidRPr="00A22A93" w:rsidRDefault="00A22A93" w:rsidP="00A22A9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regional labour mobility;</w:t>
      </w:r>
    </w:p>
    <w:p w:rsidR="00A22A93" w:rsidRPr="00A22A93" w:rsidRDefault="00A22A93" w:rsidP="00A22A9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lastRenderedPageBreak/>
        <w:t>multilingual staff capacity;</w:t>
      </w:r>
    </w:p>
    <w:p w:rsidR="00A22A93" w:rsidRPr="00A22A93" w:rsidRDefault="00A22A93" w:rsidP="00A22A9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culinary expertise;</w:t>
      </w:r>
    </w:p>
    <w:p w:rsidR="00A22A93" w:rsidRPr="00A22A93" w:rsidRDefault="00A22A93" w:rsidP="00A22A9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international conferencing capability; and</w:t>
      </w:r>
    </w:p>
    <w:p w:rsidR="00A22A93" w:rsidRPr="00A22A93" w:rsidRDefault="00A22A93" w:rsidP="00A22A9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tourism</w:t>
      </w:r>
      <w:proofErr w:type="gramEnd"/>
      <w:r w:rsidRPr="00A22A93">
        <w:rPr>
          <w:rFonts w:ascii="Times New Roman" w:eastAsia="Times New Roman" w:hAnsi="Times New Roman" w:cs="Times New Roman"/>
          <w:sz w:val="24"/>
          <w:szCs w:val="24"/>
          <w:lang w:eastAsia="en-ZA"/>
        </w:rPr>
        <w:t xml:space="preserve"> investment.</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Bill requires employers to satisfy themselves that no suitable South African worker is available before employing a foreign national.</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While FEDHASA supports local recruitment and skills development, the proposed labour market testing requirements are impractical in sectors characterised by:</w:t>
      </w:r>
    </w:p>
    <w:p w:rsidR="00A22A93" w:rsidRPr="00A22A93" w:rsidRDefault="00A22A93" w:rsidP="00A22A9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seasonal demand;</w:t>
      </w:r>
    </w:p>
    <w:p w:rsidR="00A22A93" w:rsidRPr="00A22A93" w:rsidRDefault="00A22A93" w:rsidP="00A22A9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high labour turnover;</w:t>
      </w:r>
    </w:p>
    <w:p w:rsidR="00A22A93" w:rsidRPr="00A22A93" w:rsidRDefault="00A22A93" w:rsidP="00A22A9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specialised hospitality expertise; and</w:t>
      </w:r>
    </w:p>
    <w:p w:rsidR="00A22A93" w:rsidRPr="00A22A93" w:rsidRDefault="00A22A93" w:rsidP="00A22A9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urgent</w:t>
      </w:r>
      <w:proofErr w:type="gramEnd"/>
      <w:r w:rsidRPr="00A22A93">
        <w:rPr>
          <w:rFonts w:ascii="Times New Roman" w:eastAsia="Times New Roman" w:hAnsi="Times New Roman" w:cs="Times New Roman"/>
          <w:sz w:val="24"/>
          <w:szCs w:val="24"/>
          <w:lang w:eastAsia="en-ZA"/>
        </w:rPr>
        <w:t xml:space="preserve"> operational recruitment needs.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hospitality industry often operates on extremely short recruitment cycles and requires rapid placement of specialised personnel.</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proposed framework may:</w:t>
      </w:r>
    </w:p>
    <w:p w:rsidR="00A22A93" w:rsidRPr="00A22A93" w:rsidRDefault="00A22A93" w:rsidP="00A22A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delay recruitment;</w:t>
      </w:r>
    </w:p>
    <w:p w:rsidR="00A22A93" w:rsidRPr="00A22A93" w:rsidRDefault="00A22A93" w:rsidP="00A22A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increase compliance costs;</w:t>
      </w:r>
    </w:p>
    <w:p w:rsidR="00A22A93" w:rsidRPr="00A22A93" w:rsidRDefault="00A22A93" w:rsidP="00A22A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create operational disruptions;</w:t>
      </w:r>
    </w:p>
    <w:p w:rsidR="00A22A93" w:rsidRPr="00A22A93" w:rsidRDefault="00A22A93" w:rsidP="00A22A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reduce investor confidence; and</w:t>
      </w:r>
    </w:p>
    <w:p w:rsidR="00A22A93" w:rsidRPr="00A22A93" w:rsidRDefault="00A22A93" w:rsidP="00A22A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undermine</w:t>
      </w:r>
      <w:proofErr w:type="gramEnd"/>
      <w:r w:rsidRPr="00A22A93">
        <w:rPr>
          <w:rFonts w:ascii="Times New Roman" w:eastAsia="Times New Roman" w:hAnsi="Times New Roman" w:cs="Times New Roman"/>
          <w:sz w:val="24"/>
          <w:szCs w:val="24"/>
          <w:lang w:eastAsia="en-ZA"/>
        </w:rPr>
        <w:t xml:space="preserve"> tourism growth.</w:t>
      </w:r>
    </w:p>
    <w:p w:rsidR="00A22A93" w:rsidRPr="00A22A93" w:rsidRDefault="00A22A93" w:rsidP="00A22A9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A22A93">
        <w:rPr>
          <w:rFonts w:ascii="Times New Roman" w:eastAsia="Times New Roman" w:hAnsi="Times New Roman" w:cs="Times New Roman"/>
          <w:b/>
          <w:bCs/>
          <w:kern w:val="36"/>
          <w:sz w:val="48"/>
          <w:szCs w:val="48"/>
          <w:lang w:eastAsia="en-ZA"/>
        </w:rPr>
        <w:t>3.2 Skills Transfer Requirements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Bill requires employers to prepare skills transfer plans for positions occupied by foreign nationals.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While FEDHASA supports meaningful skills transfer and localisation strategies, the Bill does not:</w:t>
      </w:r>
    </w:p>
    <w:p w:rsidR="00A22A93" w:rsidRPr="00A22A93" w:rsidRDefault="00A22A93" w:rsidP="00A22A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define acceptable skills transfer standards;</w:t>
      </w:r>
    </w:p>
    <w:p w:rsidR="00A22A93" w:rsidRPr="00A22A93" w:rsidRDefault="00A22A93" w:rsidP="00A22A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specify implementation requirements;</w:t>
      </w:r>
    </w:p>
    <w:p w:rsidR="00A22A93" w:rsidRPr="00A22A93" w:rsidRDefault="00A22A93" w:rsidP="00A22A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clarify monitoring mechanisms; or</w:t>
      </w:r>
    </w:p>
    <w:p w:rsidR="00A22A93" w:rsidRPr="00A22A93" w:rsidRDefault="00A22A93" w:rsidP="00A22A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distinguish</w:t>
      </w:r>
      <w:proofErr w:type="gramEnd"/>
      <w:r w:rsidRPr="00A22A93">
        <w:rPr>
          <w:rFonts w:ascii="Times New Roman" w:eastAsia="Times New Roman" w:hAnsi="Times New Roman" w:cs="Times New Roman"/>
          <w:sz w:val="24"/>
          <w:szCs w:val="24"/>
          <w:lang w:eastAsia="en-ZA"/>
        </w:rPr>
        <w:t xml:space="preserve"> between temporary, seasonal, technical, executive, or specialist positions.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Without clear guidelines, the provision risks becoming administratively burdensome and inconsistently enforced.</w:t>
      </w:r>
    </w:p>
    <w:p w:rsidR="00A22A93" w:rsidRPr="00A22A93" w:rsidRDefault="00A22A93" w:rsidP="00A22A9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A22A93">
        <w:rPr>
          <w:rFonts w:ascii="Times New Roman" w:eastAsia="Times New Roman" w:hAnsi="Times New Roman" w:cs="Times New Roman"/>
          <w:b/>
          <w:bCs/>
          <w:kern w:val="36"/>
          <w:sz w:val="48"/>
          <w:szCs w:val="48"/>
          <w:lang w:eastAsia="en-ZA"/>
        </w:rPr>
        <w:t>3.3 Severe Penalties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Bill introduces penalties of up to:</w:t>
      </w:r>
    </w:p>
    <w:p w:rsidR="00A22A93" w:rsidRPr="00A22A93" w:rsidRDefault="00A22A93" w:rsidP="00A22A9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R1 million; or</w:t>
      </w:r>
    </w:p>
    <w:p w:rsidR="00A22A93" w:rsidRPr="00A22A93" w:rsidRDefault="00A22A93" w:rsidP="00A22A9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lastRenderedPageBreak/>
        <w:t>10% of annual turnover</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for</w:t>
      </w:r>
      <w:proofErr w:type="gramEnd"/>
      <w:r w:rsidRPr="00A22A93">
        <w:rPr>
          <w:rFonts w:ascii="Times New Roman" w:eastAsia="Times New Roman" w:hAnsi="Times New Roman" w:cs="Times New Roman"/>
          <w:sz w:val="24"/>
          <w:szCs w:val="24"/>
          <w:lang w:eastAsia="en-ZA"/>
        </w:rPr>
        <w:t xml:space="preserve"> repeated non-compliance.</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FEDHASA submits that these penalties are disproportionate, particularly in circumstances where:</w:t>
      </w:r>
    </w:p>
    <w:p w:rsidR="00A22A93" w:rsidRPr="00A22A93" w:rsidRDefault="00A22A93" w:rsidP="00A22A9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compliance obligations remain uncertain;</w:t>
      </w:r>
    </w:p>
    <w:p w:rsidR="00A22A93" w:rsidRPr="00A22A93" w:rsidRDefault="00A22A93" w:rsidP="00A22A9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administrative systems are still evolving; or</w:t>
      </w:r>
    </w:p>
    <w:p w:rsidR="00A22A93" w:rsidRPr="00A22A93" w:rsidRDefault="00A22A93" w:rsidP="00A22A9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employers</w:t>
      </w:r>
      <w:proofErr w:type="gramEnd"/>
      <w:r w:rsidRPr="00A22A93">
        <w:rPr>
          <w:rFonts w:ascii="Times New Roman" w:eastAsia="Times New Roman" w:hAnsi="Times New Roman" w:cs="Times New Roman"/>
          <w:sz w:val="24"/>
          <w:szCs w:val="24"/>
          <w:lang w:eastAsia="en-ZA"/>
        </w:rPr>
        <w:t xml:space="preserve"> act in good faith.</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hospitality sector remains economically vulnerable following the COVID-19 pandemic and ongoing operational pressures.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Excessive penalties may discourage investment and expansion within the sector.</w:t>
      </w:r>
    </w:p>
    <w:p w:rsidR="00A22A93" w:rsidRPr="00A22A93" w:rsidRDefault="00A22A93" w:rsidP="00A22A9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A22A93">
        <w:rPr>
          <w:rFonts w:ascii="Times New Roman" w:eastAsia="Times New Roman" w:hAnsi="Times New Roman" w:cs="Times New Roman"/>
          <w:b/>
          <w:bCs/>
          <w:kern w:val="36"/>
          <w:sz w:val="48"/>
          <w:szCs w:val="48"/>
          <w:lang w:eastAsia="en-ZA"/>
        </w:rPr>
        <w:t>4. INTERNATIONAL LAW AND TRADE OBLIGATIONS</w:t>
      </w:r>
    </w:p>
    <w:p w:rsidR="00A22A93" w:rsidRPr="00A22A93" w:rsidRDefault="00A22A93" w:rsidP="00A22A93">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A22A93">
        <w:rPr>
          <w:rFonts w:ascii="Times New Roman" w:eastAsia="Times New Roman" w:hAnsi="Times New Roman" w:cs="Times New Roman"/>
          <w:b/>
          <w:bCs/>
          <w:sz w:val="36"/>
          <w:szCs w:val="36"/>
          <w:lang w:eastAsia="en-ZA"/>
        </w:rPr>
        <w:t>4.1 International Labour Organization (ILO)</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South Africa is a member of the International Labour Organization and has ratified numerous conventions relating to:</w:t>
      </w:r>
    </w:p>
    <w:p w:rsidR="00A22A93" w:rsidRPr="00A22A93" w:rsidRDefault="00A22A93" w:rsidP="00A22A93">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fair labour practices;</w:t>
      </w:r>
    </w:p>
    <w:p w:rsidR="00A22A93" w:rsidRPr="00A22A93" w:rsidRDefault="00A22A93" w:rsidP="00A22A93">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non-discrimination;</w:t>
      </w:r>
    </w:p>
    <w:p w:rsidR="00A22A93" w:rsidRPr="00A22A93" w:rsidRDefault="00A22A93" w:rsidP="00A22A93">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migrant workers’ rights; and</w:t>
      </w:r>
    </w:p>
    <w:p w:rsidR="00A22A93" w:rsidRPr="00A22A93" w:rsidRDefault="00A22A93" w:rsidP="00A22A93">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decent</w:t>
      </w:r>
      <w:proofErr w:type="gramEnd"/>
      <w:r w:rsidRPr="00A22A93">
        <w:rPr>
          <w:rFonts w:ascii="Times New Roman" w:eastAsia="Times New Roman" w:hAnsi="Times New Roman" w:cs="Times New Roman"/>
          <w:sz w:val="24"/>
          <w:szCs w:val="24"/>
          <w:lang w:eastAsia="en-ZA"/>
        </w:rPr>
        <w:t xml:space="preserve"> work principles.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Bill must therefore be interpreted consistently with:</w:t>
      </w:r>
    </w:p>
    <w:p w:rsidR="00A22A93" w:rsidRPr="00A22A93" w:rsidRDefault="00A22A93" w:rsidP="00A22A9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ILO Convention 111 on Discrimination;</w:t>
      </w:r>
    </w:p>
    <w:p w:rsidR="00A22A93" w:rsidRPr="00A22A93" w:rsidRDefault="00A22A93" w:rsidP="00A22A9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ILO Convention 97 on Migration for Employment; and</w:t>
      </w:r>
    </w:p>
    <w:p w:rsidR="00A22A93" w:rsidRPr="00A22A93" w:rsidRDefault="00A22A93" w:rsidP="00A22A9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ILO Convention 143 concerning Migrant Workers.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While states may regulate labour migration, international labour standards require that such regulation:</w:t>
      </w:r>
    </w:p>
    <w:p w:rsidR="00A22A93" w:rsidRPr="00A22A93" w:rsidRDefault="00A22A93" w:rsidP="00A22A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be proportionate;</w:t>
      </w:r>
    </w:p>
    <w:p w:rsidR="00A22A93" w:rsidRPr="00A22A93" w:rsidRDefault="00A22A93" w:rsidP="00A22A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avoid arbitrary discrimination;</w:t>
      </w:r>
    </w:p>
    <w:p w:rsidR="00A22A93" w:rsidRPr="00A22A93" w:rsidRDefault="00A22A93" w:rsidP="00A22A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protect vulnerable workers; and</w:t>
      </w:r>
    </w:p>
    <w:p w:rsidR="00A22A93" w:rsidRPr="00A22A93" w:rsidRDefault="00A22A93" w:rsidP="00A22A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not</w:t>
      </w:r>
      <w:proofErr w:type="gramEnd"/>
      <w:r w:rsidRPr="00A22A93">
        <w:rPr>
          <w:rFonts w:ascii="Times New Roman" w:eastAsia="Times New Roman" w:hAnsi="Times New Roman" w:cs="Times New Roman"/>
          <w:sz w:val="24"/>
          <w:szCs w:val="24"/>
          <w:lang w:eastAsia="en-ZA"/>
        </w:rPr>
        <w:t xml:space="preserve"> undermine labour rights.</w:t>
      </w:r>
    </w:p>
    <w:p w:rsidR="00A22A93" w:rsidRPr="00A22A93" w:rsidRDefault="00A22A93" w:rsidP="00A22A9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A22A93">
        <w:rPr>
          <w:rFonts w:ascii="Times New Roman" w:eastAsia="Times New Roman" w:hAnsi="Times New Roman" w:cs="Times New Roman"/>
          <w:b/>
          <w:bCs/>
          <w:kern w:val="36"/>
          <w:sz w:val="48"/>
          <w:szCs w:val="48"/>
          <w:lang w:eastAsia="en-ZA"/>
        </w:rPr>
        <w:t>4.2 African Continental Free Trade Area (</w:t>
      </w:r>
      <w:proofErr w:type="spellStart"/>
      <w:r w:rsidRPr="00A22A93">
        <w:rPr>
          <w:rFonts w:ascii="Times New Roman" w:eastAsia="Times New Roman" w:hAnsi="Times New Roman" w:cs="Times New Roman"/>
          <w:b/>
          <w:bCs/>
          <w:kern w:val="36"/>
          <w:sz w:val="48"/>
          <w:szCs w:val="48"/>
          <w:lang w:eastAsia="en-ZA"/>
        </w:rPr>
        <w:t>AfCFTA</w:t>
      </w:r>
      <w:proofErr w:type="spellEnd"/>
      <w:r w:rsidRPr="00A22A93">
        <w:rPr>
          <w:rFonts w:ascii="Times New Roman" w:eastAsia="Times New Roman" w:hAnsi="Times New Roman" w:cs="Times New Roman"/>
          <w:b/>
          <w:bCs/>
          <w:kern w:val="36"/>
          <w:sz w:val="48"/>
          <w:szCs w:val="48"/>
          <w:lang w:eastAsia="en-ZA"/>
        </w:rPr>
        <w:t>)</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lastRenderedPageBreak/>
        <w:t>South Africa is a signatory to the African Continental Free Trade Area.</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 xml:space="preserve">The objectives of </w:t>
      </w:r>
      <w:proofErr w:type="spellStart"/>
      <w:r w:rsidRPr="00A22A93">
        <w:rPr>
          <w:rFonts w:ascii="Times New Roman" w:eastAsia="Times New Roman" w:hAnsi="Times New Roman" w:cs="Times New Roman"/>
          <w:sz w:val="24"/>
          <w:szCs w:val="24"/>
          <w:lang w:eastAsia="en-ZA"/>
        </w:rPr>
        <w:t>AfCFTA</w:t>
      </w:r>
      <w:proofErr w:type="spellEnd"/>
      <w:r w:rsidRPr="00A22A93">
        <w:rPr>
          <w:rFonts w:ascii="Times New Roman" w:eastAsia="Times New Roman" w:hAnsi="Times New Roman" w:cs="Times New Roman"/>
          <w:sz w:val="24"/>
          <w:szCs w:val="24"/>
          <w:lang w:eastAsia="en-ZA"/>
        </w:rPr>
        <w:t xml:space="preserve"> include:</w:t>
      </w:r>
    </w:p>
    <w:p w:rsidR="00A22A93" w:rsidRPr="00A22A93" w:rsidRDefault="00A22A93" w:rsidP="00A22A9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regional economic integration;</w:t>
      </w:r>
    </w:p>
    <w:p w:rsidR="00A22A93" w:rsidRPr="00A22A93" w:rsidRDefault="00A22A93" w:rsidP="00A22A9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increased labour mobility;</w:t>
      </w:r>
    </w:p>
    <w:p w:rsidR="00A22A93" w:rsidRPr="00A22A93" w:rsidRDefault="00A22A93" w:rsidP="00A22A9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investment facilitation; and</w:t>
      </w:r>
    </w:p>
    <w:p w:rsidR="00A22A93" w:rsidRPr="00A22A93" w:rsidRDefault="00A22A93" w:rsidP="00A22A9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trade</w:t>
      </w:r>
      <w:proofErr w:type="gramEnd"/>
      <w:r w:rsidRPr="00A22A93">
        <w:rPr>
          <w:rFonts w:ascii="Times New Roman" w:eastAsia="Times New Roman" w:hAnsi="Times New Roman" w:cs="Times New Roman"/>
          <w:sz w:val="24"/>
          <w:szCs w:val="24"/>
          <w:lang w:eastAsia="en-ZA"/>
        </w:rPr>
        <w:t xml:space="preserve"> in services.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Restrictive quota systems may undermine South Africa’s obligations and leadership role within regional integration frameworks.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hospitality and tourism sectors are highly dependent on regional mobility across Southern Africa and the broader continent.</w:t>
      </w:r>
    </w:p>
    <w:p w:rsidR="00A22A93" w:rsidRPr="00A22A93" w:rsidRDefault="00A22A93" w:rsidP="00A22A9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A22A93">
        <w:rPr>
          <w:rFonts w:ascii="Times New Roman" w:eastAsia="Times New Roman" w:hAnsi="Times New Roman" w:cs="Times New Roman"/>
          <w:b/>
          <w:bCs/>
          <w:kern w:val="36"/>
          <w:sz w:val="48"/>
          <w:szCs w:val="48"/>
          <w:lang w:eastAsia="en-ZA"/>
        </w:rPr>
        <w:t>4.3 SADC Protocols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South Africa is also bound by various Southern African Development Community protocols promoting regional cooperation and labour mobility.</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Overly restrictive labour migration frameworks may:</w:t>
      </w:r>
    </w:p>
    <w:p w:rsidR="00A22A93" w:rsidRPr="00A22A93" w:rsidRDefault="00A22A93" w:rsidP="00A22A9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discourage regional investment;</w:t>
      </w:r>
    </w:p>
    <w:p w:rsidR="00A22A93" w:rsidRPr="00A22A93" w:rsidRDefault="00A22A93" w:rsidP="00A22A9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undermine tourism integration;</w:t>
      </w:r>
    </w:p>
    <w:p w:rsidR="00A22A93" w:rsidRPr="00A22A93" w:rsidRDefault="00A22A93" w:rsidP="00A22A9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create reciprocal restrictions; and</w:t>
      </w:r>
    </w:p>
    <w:p w:rsidR="00A22A93" w:rsidRPr="00A22A93" w:rsidRDefault="00A22A93" w:rsidP="00A22A9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negatively</w:t>
      </w:r>
      <w:proofErr w:type="gramEnd"/>
      <w:r w:rsidRPr="00A22A93">
        <w:rPr>
          <w:rFonts w:ascii="Times New Roman" w:eastAsia="Times New Roman" w:hAnsi="Times New Roman" w:cs="Times New Roman"/>
          <w:sz w:val="24"/>
          <w:szCs w:val="24"/>
          <w:lang w:eastAsia="en-ZA"/>
        </w:rPr>
        <w:t xml:space="preserve"> affect South Africa’s regional competitiveness.</w:t>
      </w:r>
    </w:p>
    <w:p w:rsidR="00A22A93" w:rsidRPr="00A22A93" w:rsidRDefault="00A22A93" w:rsidP="00A22A9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A22A93">
        <w:rPr>
          <w:rFonts w:ascii="Times New Roman" w:eastAsia="Times New Roman" w:hAnsi="Times New Roman" w:cs="Times New Roman"/>
          <w:b/>
          <w:bCs/>
          <w:kern w:val="36"/>
          <w:sz w:val="48"/>
          <w:szCs w:val="48"/>
          <w:lang w:eastAsia="en-ZA"/>
        </w:rPr>
        <w:t>4.4 WTO and Trade in Services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South Africa’s commitments under the General Agreement on Trade in Services (GATS) require fair and transparent treatment of service sectors, including tourism-related services.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International tourism operators may perceive restrictive labour quotas as barriers to investment and operations.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This may negatively affect:</w:t>
      </w:r>
    </w:p>
    <w:p w:rsidR="00A22A93" w:rsidRPr="00A22A93" w:rsidRDefault="00A22A93" w:rsidP="00A22A9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foreign direct investment;</w:t>
      </w:r>
    </w:p>
    <w:p w:rsidR="00A22A93" w:rsidRPr="00A22A93" w:rsidRDefault="00A22A93" w:rsidP="00A22A9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hotel development;</w:t>
      </w:r>
    </w:p>
    <w:p w:rsidR="00A22A93" w:rsidRPr="00A22A93" w:rsidRDefault="00A22A93" w:rsidP="00A22A9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conference tourism;</w:t>
      </w:r>
    </w:p>
    <w:p w:rsidR="00A22A93" w:rsidRPr="00A22A93" w:rsidRDefault="00A22A93" w:rsidP="00A22A9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airline partnerships; and</w:t>
      </w:r>
    </w:p>
    <w:p w:rsidR="00A22A93" w:rsidRPr="00A22A93" w:rsidRDefault="00A22A93" w:rsidP="00A22A9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international</w:t>
      </w:r>
      <w:proofErr w:type="gramEnd"/>
      <w:r w:rsidRPr="00A22A93">
        <w:rPr>
          <w:rFonts w:ascii="Times New Roman" w:eastAsia="Times New Roman" w:hAnsi="Times New Roman" w:cs="Times New Roman"/>
          <w:sz w:val="24"/>
          <w:szCs w:val="24"/>
          <w:lang w:eastAsia="en-ZA"/>
        </w:rPr>
        <w:t xml:space="preserve"> hospitality brands operating in South Africa.</w:t>
      </w:r>
    </w:p>
    <w:p w:rsidR="00A22A93" w:rsidRPr="00A22A93" w:rsidRDefault="00A22A93" w:rsidP="00A22A9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A22A93">
        <w:rPr>
          <w:rFonts w:ascii="Times New Roman" w:eastAsia="Times New Roman" w:hAnsi="Times New Roman" w:cs="Times New Roman"/>
          <w:b/>
          <w:bCs/>
          <w:kern w:val="36"/>
          <w:sz w:val="48"/>
          <w:szCs w:val="48"/>
          <w:lang w:eastAsia="en-ZA"/>
        </w:rPr>
        <w:t>5. RECOMMENDATIONS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FEDHASA respectfully recommends the following amendments and safeguards:</w:t>
      </w:r>
    </w:p>
    <w:p w:rsidR="00A22A93" w:rsidRPr="00A22A93" w:rsidRDefault="00A22A93" w:rsidP="00A22A93">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A22A93">
        <w:rPr>
          <w:rFonts w:ascii="Times New Roman" w:eastAsia="Times New Roman" w:hAnsi="Times New Roman" w:cs="Times New Roman"/>
          <w:b/>
          <w:bCs/>
          <w:sz w:val="36"/>
          <w:szCs w:val="36"/>
          <w:lang w:eastAsia="en-ZA"/>
        </w:rPr>
        <w:lastRenderedPageBreak/>
        <w:t>5.1 Sector-Specific Consultation</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Any quotas contemplated under section 12B should only be introduced:</w:t>
      </w:r>
    </w:p>
    <w:p w:rsidR="00A22A93" w:rsidRPr="00A22A93" w:rsidRDefault="00A22A93" w:rsidP="00A22A93">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following detailed sectoral economic assessments;</w:t>
      </w:r>
    </w:p>
    <w:p w:rsidR="00A22A93" w:rsidRPr="00A22A93" w:rsidRDefault="00A22A93" w:rsidP="00A22A93">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after consultation with affected industries;</w:t>
      </w:r>
    </w:p>
    <w:p w:rsidR="00A22A93" w:rsidRPr="00A22A93" w:rsidRDefault="00A22A93" w:rsidP="00A22A93">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with published impact studies; and</w:t>
      </w:r>
    </w:p>
    <w:p w:rsidR="00A22A93" w:rsidRPr="00A22A93" w:rsidRDefault="00A22A93" w:rsidP="00A22A93">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subject</w:t>
      </w:r>
      <w:proofErr w:type="gramEnd"/>
      <w:r w:rsidRPr="00A22A93">
        <w:rPr>
          <w:rFonts w:ascii="Times New Roman" w:eastAsia="Times New Roman" w:hAnsi="Times New Roman" w:cs="Times New Roman"/>
          <w:sz w:val="24"/>
          <w:szCs w:val="24"/>
          <w:lang w:eastAsia="en-ZA"/>
        </w:rPr>
        <w:t xml:space="preserve"> to periodic review.</w:t>
      </w:r>
    </w:p>
    <w:p w:rsidR="00A22A93" w:rsidRPr="00A22A93" w:rsidRDefault="00A22A93" w:rsidP="00A22A93">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A22A93">
        <w:rPr>
          <w:rFonts w:ascii="Times New Roman" w:eastAsia="Times New Roman" w:hAnsi="Times New Roman" w:cs="Times New Roman"/>
          <w:b/>
          <w:bCs/>
          <w:sz w:val="36"/>
          <w:szCs w:val="36"/>
          <w:lang w:eastAsia="en-ZA"/>
        </w:rPr>
        <w:t>5.2 Exemption Framework</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exemption process under section 49A should:</w:t>
      </w:r>
    </w:p>
    <w:p w:rsidR="00A22A93" w:rsidRPr="00A22A93" w:rsidRDefault="00A22A93" w:rsidP="00A22A9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be transparent;</w:t>
      </w:r>
    </w:p>
    <w:p w:rsidR="00A22A93" w:rsidRPr="00A22A93" w:rsidRDefault="00A22A93" w:rsidP="00A22A9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include fixed turnaround times;</w:t>
      </w:r>
    </w:p>
    <w:p w:rsidR="00A22A93" w:rsidRPr="00A22A93" w:rsidRDefault="00A22A93" w:rsidP="00A22A9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provide appeal mechanisms;</w:t>
      </w:r>
    </w:p>
    <w:p w:rsidR="00A22A93" w:rsidRPr="00A22A93" w:rsidRDefault="00A22A93" w:rsidP="00A22A9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include objective criteria; and</w:t>
      </w:r>
    </w:p>
    <w:p w:rsidR="00A22A93" w:rsidRPr="00A22A93" w:rsidRDefault="00A22A93" w:rsidP="00A22A9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accommodate</w:t>
      </w:r>
      <w:proofErr w:type="gramEnd"/>
      <w:r w:rsidRPr="00A22A93">
        <w:rPr>
          <w:rFonts w:ascii="Times New Roman" w:eastAsia="Times New Roman" w:hAnsi="Times New Roman" w:cs="Times New Roman"/>
          <w:sz w:val="24"/>
          <w:szCs w:val="24"/>
          <w:lang w:eastAsia="en-ZA"/>
        </w:rPr>
        <w:t xml:space="preserve"> sectors with demonstrated skills shortages.</w:t>
      </w:r>
    </w:p>
    <w:p w:rsidR="00A22A93" w:rsidRPr="00A22A93" w:rsidRDefault="00A22A93" w:rsidP="00A22A93">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A22A93">
        <w:rPr>
          <w:rFonts w:ascii="Times New Roman" w:eastAsia="Times New Roman" w:hAnsi="Times New Roman" w:cs="Times New Roman"/>
          <w:b/>
          <w:bCs/>
          <w:sz w:val="36"/>
          <w:szCs w:val="36"/>
          <w:lang w:eastAsia="en-ZA"/>
        </w:rPr>
        <w:t>5.3 Recognition of Tourism as a Strategic Sector</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 xml:space="preserve">The hospitality and tourism sector should receive special consideration due to </w:t>
      </w:r>
      <w:proofErr w:type="gramStart"/>
      <w:r w:rsidRPr="00A22A93">
        <w:rPr>
          <w:rFonts w:ascii="Times New Roman" w:eastAsia="Times New Roman" w:hAnsi="Times New Roman" w:cs="Times New Roman"/>
          <w:sz w:val="24"/>
          <w:szCs w:val="24"/>
          <w:lang w:eastAsia="en-ZA"/>
        </w:rPr>
        <w:t>its</w:t>
      </w:r>
      <w:proofErr w:type="gramEnd"/>
      <w:r w:rsidRPr="00A22A93">
        <w:rPr>
          <w:rFonts w:ascii="Times New Roman" w:eastAsia="Times New Roman" w:hAnsi="Times New Roman" w:cs="Times New Roman"/>
          <w:sz w:val="24"/>
          <w:szCs w:val="24"/>
          <w:lang w:eastAsia="en-ZA"/>
        </w:rPr>
        <w:t>:</w:t>
      </w:r>
    </w:p>
    <w:p w:rsidR="00A22A93" w:rsidRPr="00A22A93" w:rsidRDefault="00A22A93" w:rsidP="00A22A93">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contribution to GDP;</w:t>
      </w:r>
    </w:p>
    <w:p w:rsidR="00A22A93" w:rsidRPr="00A22A93" w:rsidRDefault="00A22A93" w:rsidP="00A22A93">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employment creation potential;</w:t>
      </w:r>
    </w:p>
    <w:p w:rsidR="00A22A93" w:rsidRPr="00A22A93" w:rsidRDefault="00A22A93" w:rsidP="00A22A93">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international competitiveness requirements; and</w:t>
      </w:r>
    </w:p>
    <w:p w:rsidR="00A22A93" w:rsidRPr="00A22A93" w:rsidRDefault="00A22A93" w:rsidP="00A22A93">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reliance</w:t>
      </w:r>
      <w:proofErr w:type="gramEnd"/>
      <w:r w:rsidRPr="00A22A93">
        <w:rPr>
          <w:rFonts w:ascii="Times New Roman" w:eastAsia="Times New Roman" w:hAnsi="Times New Roman" w:cs="Times New Roman"/>
          <w:sz w:val="24"/>
          <w:szCs w:val="24"/>
          <w:lang w:eastAsia="en-ZA"/>
        </w:rPr>
        <w:t xml:space="preserve"> on specialised and seasonal skills.</w:t>
      </w:r>
    </w:p>
    <w:p w:rsidR="00A22A93" w:rsidRPr="00A22A93" w:rsidRDefault="00A22A93" w:rsidP="00A22A93">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A22A93">
        <w:rPr>
          <w:rFonts w:ascii="Times New Roman" w:eastAsia="Times New Roman" w:hAnsi="Times New Roman" w:cs="Times New Roman"/>
          <w:b/>
          <w:bCs/>
          <w:sz w:val="36"/>
          <w:szCs w:val="36"/>
          <w:lang w:eastAsia="en-ZA"/>
        </w:rPr>
        <w:t xml:space="preserve">5.4 Alignment </w:t>
      </w:r>
      <w:proofErr w:type="gramStart"/>
      <w:r w:rsidRPr="00A22A93">
        <w:rPr>
          <w:rFonts w:ascii="Times New Roman" w:eastAsia="Times New Roman" w:hAnsi="Times New Roman" w:cs="Times New Roman"/>
          <w:b/>
          <w:bCs/>
          <w:sz w:val="36"/>
          <w:szCs w:val="36"/>
          <w:lang w:eastAsia="en-ZA"/>
        </w:rPr>
        <w:t>With</w:t>
      </w:r>
      <w:proofErr w:type="gramEnd"/>
      <w:r w:rsidRPr="00A22A93">
        <w:rPr>
          <w:rFonts w:ascii="Times New Roman" w:eastAsia="Times New Roman" w:hAnsi="Times New Roman" w:cs="Times New Roman"/>
          <w:b/>
          <w:bCs/>
          <w:sz w:val="36"/>
          <w:szCs w:val="36"/>
          <w:lang w:eastAsia="en-ZA"/>
        </w:rPr>
        <w:t xml:space="preserve"> Existing Immigration Frameworks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Bill should avoid duplication or conflict with the:</w:t>
      </w:r>
    </w:p>
    <w:p w:rsidR="00A22A93" w:rsidRPr="00A22A93" w:rsidRDefault="00A22A93" w:rsidP="00A22A93">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Immigration Act;</w:t>
      </w:r>
    </w:p>
    <w:p w:rsidR="00A22A93" w:rsidRPr="00A22A93" w:rsidRDefault="00A22A93" w:rsidP="00A22A93">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Critical Skills Visa framework; and</w:t>
      </w:r>
    </w:p>
    <w:p w:rsidR="00A22A93" w:rsidRPr="00A22A93" w:rsidRDefault="00A22A93" w:rsidP="00A22A93">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Department of Home Affairs systems.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A fragmented or overlapping regulatory system will increase inefficiency and uncertainty.</w:t>
      </w:r>
    </w:p>
    <w:p w:rsidR="00A22A93" w:rsidRPr="00A22A93" w:rsidRDefault="00A22A93" w:rsidP="00A22A93">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A22A93">
        <w:rPr>
          <w:rFonts w:ascii="Times New Roman" w:eastAsia="Times New Roman" w:hAnsi="Times New Roman" w:cs="Times New Roman"/>
          <w:b/>
          <w:bCs/>
          <w:sz w:val="36"/>
          <w:szCs w:val="36"/>
          <w:lang w:eastAsia="en-ZA"/>
        </w:rPr>
        <w:t>5.5 Proportionate Enforcement</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Penalties should be proportionate and distinguish between:</w:t>
      </w:r>
    </w:p>
    <w:p w:rsidR="00A22A93" w:rsidRPr="00A22A93" w:rsidRDefault="00A22A93" w:rsidP="00A22A93">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deliberate exploitation;</w:t>
      </w:r>
    </w:p>
    <w:p w:rsidR="00A22A93" w:rsidRPr="00A22A93" w:rsidRDefault="00A22A93" w:rsidP="00A22A93">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administrative non-compliance; and</w:t>
      </w:r>
    </w:p>
    <w:p w:rsidR="00A22A93" w:rsidRPr="00A22A93" w:rsidRDefault="00A22A93" w:rsidP="00A22A93">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ZA"/>
        </w:rPr>
      </w:pPr>
      <w:proofErr w:type="gramStart"/>
      <w:r w:rsidRPr="00A22A93">
        <w:rPr>
          <w:rFonts w:ascii="Times New Roman" w:eastAsia="Times New Roman" w:hAnsi="Times New Roman" w:cs="Times New Roman"/>
          <w:sz w:val="24"/>
          <w:szCs w:val="24"/>
          <w:lang w:eastAsia="en-ZA"/>
        </w:rPr>
        <w:t>good-faith</w:t>
      </w:r>
      <w:proofErr w:type="gramEnd"/>
      <w:r w:rsidRPr="00A22A93">
        <w:rPr>
          <w:rFonts w:ascii="Times New Roman" w:eastAsia="Times New Roman" w:hAnsi="Times New Roman" w:cs="Times New Roman"/>
          <w:sz w:val="24"/>
          <w:szCs w:val="24"/>
          <w:lang w:eastAsia="en-ZA"/>
        </w:rPr>
        <w:t xml:space="preserve"> errors.</w:t>
      </w:r>
    </w:p>
    <w:p w:rsidR="00A22A93" w:rsidRPr="00A22A93" w:rsidRDefault="00A22A93" w:rsidP="00A22A9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A22A93">
        <w:rPr>
          <w:rFonts w:ascii="Times New Roman" w:eastAsia="Times New Roman" w:hAnsi="Times New Roman" w:cs="Times New Roman"/>
          <w:b/>
          <w:bCs/>
          <w:kern w:val="36"/>
          <w:sz w:val="48"/>
          <w:szCs w:val="48"/>
          <w:lang w:eastAsia="en-ZA"/>
        </w:rPr>
        <w:lastRenderedPageBreak/>
        <w:t>6. CONCLUSION</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FEDHASA supports lawful labour migration management, fair labour practices, and initiatives aimed at improving employment opportunities for South Africans.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However, the Employment Services Amendment Bill, 2026, in its current form introduces significant risks relating to:</w:t>
      </w:r>
    </w:p>
    <w:p w:rsidR="00A22A93" w:rsidRPr="00A22A93" w:rsidRDefault="00A22A93" w:rsidP="00A22A93">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constitutional compliance;</w:t>
      </w:r>
    </w:p>
    <w:p w:rsidR="00A22A93" w:rsidRPr="00A22A93" w:rsidRDefault="00A22A93" w:rsidP="00A22A93">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administrative feasibility;</w:t>
      </w:r>
    </w:p>
    <w:p w:rsidR="00A22A93" w:rsidRPr="00A22A93" w:rsidRDefault="00A22A93" w:rsidP="00A22A93">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labour market flexibility;</w:t>
      </w:r>
    </w:p>
    <w:p w:rsidR="00A22A93" w:rsidRPr="00A22A93" w:rsidRDefault="00A22A93" w:rsidP="00A22A93">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tourism competitiveness;</w:t>
      </w:r>
    </w:p>
    <w:p w:rsidR="00A22A93" w:rsidRPr="00A22A93" w:rsidRDefault="00A22A93" w:rsidP="00A22A93">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investor confidence; and</w:t>
      </w:r>
    </w:p>
    <w:p w:rsidR="00A22A93" w:rsidRPr="00A22A93" w:rsidRDefault="00A22A93" w:rsidP="00A22A93">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South Africa’s international obligations.</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The hospitality industry is a major economic contributor and depends on a balanced, practical, and internationally aligned labour framework.</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FEDHASA therefore urges Parliament and the Department of Employment and Labour to reconsider the proposed quota framework and engage in further consultation with affected industries before finalising the Bill.</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Submitted respectfully,</w:t>
      </w:r>
    </w:p>
    <w:p w:rsidR="00A22A93" w:rsidRPr="00A22A93" w:rsidRDefault="00A22A93" w:rsidP="00A22A93">
      <w:pPr>
        <w:spacing w:before="100" w:beforeAutospacing="1" w:after="100" w:afterAutospacing="1" w:line="240" w:lineRule="auto"/>
        <w:rPr>
          <w:rFonts w:ascii="Times New Roman" w:eastAsia="Times New Roman" w:hAnsi="Times New Roman" w:cs="Times New Roman"/>
          <w:sz w:val="24"/>
          <w:szCs w:val="24"/>
          <w:lang w:eastAsia="en-ZA"/>
        </w:rPr>
      </w:pPr>
      <w:r w:rsidRPr="00A22A93">
        <w:rPr>
          <w:rFonts w:ascii="Times New Roman" w:eastAsia="Times New Roman" w:hAnsi="Times New Roman" w:cs="Times New Roman"/>
          <w:sz w:val="24"/>
          <w:szCs w:val="24"/>
          <w:lang w:eastAsia="en-ZA"/>
        </w:rPr>
        <w:t>FEDHASA</w:t>
      </w:r>
      <w:r w:rsidRPr="00A22A93">
        <w:rPr>
          <w:rFonts w:ascii="Times New Roman" w:eastAsia="Times New Roman" w:hAnsi="Times New Roman" w:cs="Times New Roman"/>
          <w:sz w:val="24"/>
          <w:szCs w:val="24"/>
          <w:lang w:eastAsia="en-ZA"/>
        </w:rPr>
        <w:br/>
      </w:r>
      <w:proofErr w:type="gramStart"/>
      <w:r w:rsidRPr="00A22A93">
        <w:rPr>
          <w:rFonts w:ascii="Times New Roman" w:eastAsia="Times New Roman" w:hAnsi="Times New Roman" w:cs="Times New Roman"/>
          <w:sz w:val="24"/>
          <w:szCs w:val="24"/>
          <w:lang w:eastAsia="en-ZA"/>
        </w:rPr>
        <w:t>The</w:t>
      </w:r>
      <w:proofErr w:type="gramEnd"/>
      <w:r w:rsidRPr="00A22A93">
        <w:rPr>
          <w:rFonts w:ascii="Times New Roman" w:eastAsia="Times New Roman" w:hAnsi="Times New Roman" w:cs="Times New Roman"/>
          <w:sz w:val="24"/>
          <w:szCs w:val="24"/>
          <w:lang w:eastAsia="en-ZA"/>
        </w:rPr>
        <w:t xml:space="preserve"> Federated Hospitality Association of South Africa</w:t>
      </w:r>
    </w:p>
    <w:p w:rsidR="00FB1865" w:rsidRDefault="00A22A93">
      <w:bookmarkStart w:id="0" w:name="_GoBack"/>
      <w:bookmarkEnd w:id="0"/>
    </w:p>
    <w:sectPr w:rsidR="00FB1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4465D"/>
    <w:multiLevelType w:val="multilevel"/>
    <w:tmpl w:val="688C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5336C"/>
    <w:multiLevelType w:val="multilevel"/>
    <w:tmpl w:val="CE28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22EA2"/>
    <w:multiLevelType w:val="multilevel"/>
    <w:tmpl w:val="5038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B7B01"/>
    <w:multiLevelType w:val="multilevel"/>
    <w:tmpl w:val="3596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02709"/>
    <w:multiLevelType w:val="multilevel"/>
    <w:tmpl w:val="6632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07631"/>
    <w:multiLevelType w:val="multilevel"/>
    <w:tmpl w:val="1DB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36721"/>
    <w:multiLevelType w:val="multilevel"/>
    <w:tmpl w:val="436E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1761F"/>
    <w:multiLevelType w:val="multilevel"/>
    <w:tmpl w:val="940A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55064"/>
    <w:multiLevelType w:val="multilevel"/>
    <w:tmpl w:val="9002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81E3F"/>
    <w:multiLevelType w:val="multilevel"/>
    <w:tmpl w:val="3170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9B6E73"/>
    <w:multiLevelType w:val="multilevel"/>
    <w:tmpl w:val="F55E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944F9"/>
    <w:multiLevelType w:val="multilevel"/>
    <w:tmpl w:val="7658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A08D4"/>
    <w:multiLevelType w:val="multilevel"/>
    <w:tmpl w:val="95DA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1A24A3"/>
    <w:multiLevelType w:val="multilevel"/>
    <w:tmpl w:val="61C6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F63F5"/>
    <w:multiLevelType w:val="multilevel"/>
    <w:tmpl w:val="06A0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4455E"/>
    <w:multiLevelType w:val="multilevel"/>
    <w:tmpl w:val="E85A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E12977"/>
    <w:multiLevelType w:val="multilevel"/>
    <w:tmpl w:val="F162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752EB6"/>
    <w:multiLevelType w:val="multilevel"/>
    <w:tmpl w:val="67CE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E81595"/>
    <w:multiLevelType w:val="multilevel"/>
    <w:tmpl w:val="6E1C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E24BB"/>
    <w:multiLevelType w:val="multilevel"/>
    <w:tmpl w:val="949E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675DA8"/>
    <w:multiLevelType w:val="multilevel"/>
    <w:tmpl w:val="5C22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255B6F"/>
    <w:multiLevelType w:val="multilevel"/>
    <w:tmpl w:val="DE5A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55B26"/>
    <w:multiLevelType w:val="multilevel"/>
    <w:tmpl w:val="285E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1A6C15"/>
    <w:multiLevelType w:val="multilevel"/>
    <w:tmpl w:val="5C02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CC1211"/>
    <w:multiLevelType w:val="multilevel"/>
    <w:tmpl w:val="72BE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8"/>
  </w:num>
  <w:num w:numId="4">
    <w:abstractNumId w:val="19"/>
  </w:num>
  <w:num w:numId="5">
    <w:abstractNumId w:val="6"/>
  </w:num>
  <w:num w:numId="6">
    <w:abstractNumId w:val="2"/>
  </w:num>
  <w:num w:numId="7">
    <w:abstractNumId w:val="13"/>
  </w:num>
  <w:num w:numId="8">
    <w:abstractNumId w:val="17"/>
  </w:num>
  <w:num w:numId="9">
    <w:abstractNumId w:val="10"/>
  </w:num>
  <w:num w:numId="10">
    <w:abstractNumId w:val="7"/>
  </w:num>
  <w:num w:numId="11">
    <w:abstractNumId w:val="5"/>
  </w:num>
  <w:num w:numId="12">
    <w:abstractNumId w:val="0"/>
  </w:num>
  <w:num w:numId="13">
    <w:abstractNumId w:val="23"/>
  </w:num>
  <w:num w:numId="14">
    <w:abstractNumId w:val="22"/>
  </w:num>
  <w:num w:numId="15">
    <w:abstractNumId w:val="15"/>
  </w:num>
  <w:num w:numId="16">
    <w:abstractNumId w:val="21"/>
  </w:num>
  <w:num w:numId="17">
    <w:abstractNumId w:val="14"/>
  </w:num>
  <w:num w:numId="18">
    <w:abstractNumId w:val="3"/>
  </w:num>
  <w:num w:numId="19">
    <w:abstractNumId w:val="24"/>
  </w:num>
  <w:num w:numId="20">
    <w:abstractNumId w:val="1"/>
  </w:num>
  <w:num w:numId="21">
    <w:abstractNumId w:val="16"/>
  </w:num>
  <w:num w:numId="22">
    <w:abstractNumId w:val="9"/>
  </w:num>
  <w:num w:numId="23">
    <w:abstractNumId w:val="18"/>
  </w:num>
  <w:num w:numId="24">
    <w:abstractNumId w:val="1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93"/>
    <w:rsid w:val="002A56EB"/>
    <w:rsid w:val="003D0396"/>
    <w:rsid w:val="003F799B"/>
    <w:rsid w:val="009000A0"/>
    <w:rsid w:val="00A22A93"/>
    <w:rsid w:val="00E748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40F4D-B9CE-49FA-8243-09EEB09A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33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2026-06-03T14:33:00Z</dcterms:created>
  <dcterms:modified xsi:type="dcterms:W3CDTF">2026-06-03T14:33:00Z</dcterms:modified>
</cp:coreProperties>
</file>